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[Orf 00:00:12]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the 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headwinds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[Ragon 00:01:32]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1983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Iraqi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[east 00:02:27]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phrase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Ragon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Aaron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[Schmidt 00:03:36]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Ragon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[too 00:04:01]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pivot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pivot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interrupted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interrupted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occupation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simultaneously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staggered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unabated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microbiome's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[Tierney 00:10:36]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[Walt 00:10:38]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validated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sterilization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Consortium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Ragon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efficiently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upheaval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Betancourt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cheerleader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cooperation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Harry Orf: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[Heckey 00:16:23]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2021-02-12_Proto_Podcast_research-year-that-was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