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Betancourt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tragedies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reckon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H1N1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Latinos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prevalence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disturbing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Chicago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Betancourt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Betancourt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anticipated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asthma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groceries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exponential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unearthed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frankly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deployed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messenger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democratizing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surveillance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insecurity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insecurity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domestic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surveillance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surveillance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CDC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ravaged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sneeze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ravaged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unleashed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Minneapolis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violent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enforcement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Bowen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Brookings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Dayna Bowen...: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empirically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LaVeist's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maladies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practitioner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Dayna Bowen...: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manifest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prejudgment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segregated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heuristics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heuristics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credited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verbally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dominant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frankly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horrifying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takeaways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practitioners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Dayna Bowen...: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awakening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comprehensive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comorbidities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predisposed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predisposed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prevalence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comorbidities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diabetes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dismantle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dismantling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dismantling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discrimination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dismantling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Dayna Bowen...: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Joseph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Betancourt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deliberate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demonstrations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manifestation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Ahmaud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Arbery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likelihood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Latino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catheterization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angioplasty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mistrust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stereotype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assumptions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courageous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eliminating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Taylor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Ahmaud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Arbery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injustices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exhaustion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deliberately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disadvantages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rekindling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irresponsibly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Floyd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pessimistic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courageous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frankly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vulnerable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disproportionately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ventilators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courageous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whisper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Betancourt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Joseph Beta...: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)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2020-06-16_Proto_Podcast_tale-of-two-pandemics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