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[Sarah Alger 00:00:07]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Suzanne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pursuits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Dorianne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Dorianne Laux: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mushrooms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rubber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Chekhov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Moscow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[Passaic 00:01:21]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Jersey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pediatrics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pursuits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Suzanne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Hopkins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pursued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Quarterly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inaugural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Russell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Suzanne's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Chekhov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Chekhov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tuberculosis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parallel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deliberately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practitioners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chaplains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empathic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disjointed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remarkable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empowered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eagerness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apprehensive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hepatitis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intuitively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blissfully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ignorant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Dorianne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Laux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Dorianne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Dorianne Laux: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mushrooms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rubber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nylons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streaked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spaghetti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Parmesan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loaf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unfastened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burgundy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intestines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twirled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cranium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sourdough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cauliflower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cooperation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ambulance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stomach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wrapper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paraphrasing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Obama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emblazoned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visceral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mixing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precedes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inseparable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masterpieces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descriptive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30,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acknowledged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Alberto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Alberto Rios: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Giving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diamond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Alberto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Huntington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Slavin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deceptively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irreducible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mirrors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caregiver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Salesman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Kafka's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Metamorphosis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Hodgman's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Bettyville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Rebecca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Makkai's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Jeffrey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Eugenides's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Chekhov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Munro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Margaret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Lepore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carnival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instinctively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maintenance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reconnects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ameliorates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: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inventory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armamentarium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therapeutic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armamentarium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therapeutic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enriches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enrichment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entitled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Suzanne Cov...: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[Silber 00:25:40]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[Kline 00:25:40]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Dorianne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Alberto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[Andies 00:25:51]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you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2020-03-06_Proto_Podcast_examination-of-a-poem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