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Egyptians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Iliad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pungent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1960s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desperately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grasp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syndrome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ingredient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exaggerated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physiologic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dysfunction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dysfunction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dysfunction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qSOFA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alphabet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dysfunction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biomarkers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biomarkers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biomarkers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pathologic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dysfunction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manifests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biomarkers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!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oodles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vasopressor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hurdles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Pennsylvania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candidates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constellation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cetera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vasopressor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resuscitate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invasive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clostridium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elusive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microorganisms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Fraunhofer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IGB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tricker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antimicrobial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adequately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jeopardy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fungus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unbiased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forensic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plasma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plasma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fragments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abdominal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benchmarks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Kai Sohn: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Fraunhofer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IGB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pursuing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hurdle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spectrum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multimodal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phenotyping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phenotypes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phenotypes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phenotype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horizon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controversial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biomarkers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pathogen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deployed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Michael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Philbin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Michael Phi...: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2019-07-18_Proto_Podcast_battle-plan-for-sepsis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