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Schultz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enjoying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civilian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Schultz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afterglow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Hollywood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entourage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bulb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atmosphere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accidentally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artificial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quickly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492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hundred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rationale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festering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rationale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antimicrobial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Eschar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separate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underneath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Hmm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Pearl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incident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recipients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federal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casualties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demonstrated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resuscitation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plasma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penicillin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civilian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victims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subsequent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sulfa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intravenous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infusions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sulfa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initial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reconstructive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75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Nightclub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deadliest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patrons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Saturday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Soldiers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sailors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wedding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[Sheridan 00:06:47]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[Louis Arald 00:06:58]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itinerary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cowboy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nightclubs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stuffy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noisy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poorly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Schmidt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Sheridan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circumstances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rowdy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football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afternoon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!"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crackling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sweeping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pseudo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tropical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decorations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immediately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toxic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footsteps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moaned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wreckage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policemen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freezing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newspaper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Sheridan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whispered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blanket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fighting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puffed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taxi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driver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replied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.'"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puffed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bandages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morphine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hallucinating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Nazis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Nazis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swollen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ankles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floor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Bourbon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released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January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reminding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tragedy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desperation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Connie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correspondent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correspondent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afraid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parachuting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Sheridan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Louis Arald: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screaming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Washington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sailor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inquired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blaze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taxied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privilege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Meg Schmidt: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beyond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rescuer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Coconut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Martin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Sheridan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attacks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Tokyo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submarine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2003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89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John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Schultz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Sumner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Redstone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emergency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overwhelmed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marathon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bombing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sophisticated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ventilators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grafting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tannic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1960s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dressings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Besides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remarkable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survival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nutrition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hypermetabolic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metabolic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perfusion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antibiotics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1942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biggest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antimicrobials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horizon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graph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beginning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surveying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microscopic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digitally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difficulty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Boston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discharge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rehabilitation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ambulance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candidate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injuries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smoke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carbon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monoxide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detectors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mechanism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cigarette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cigarette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ignite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cigarette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battery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cigarette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pocket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geez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Schultz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 Schultz: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2017-11-21_Proto_Podcast_cocoanut-grove-fire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