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conclusions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Catherine: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Orlando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lingering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Gotbaum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percentages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perpetuates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Catastrophizing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conceptualizes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magnify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catastrophize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conceptualized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quantifiable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PTSD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Catastrophizing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Gotbaum: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 J. Sincl...: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lengths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Brussels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Gotbaum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Sinclair's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Israel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Catastrophizing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PTSD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kiosk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sclerosis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wholeheartedly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semester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relapsed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opioid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overdose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ashamed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astonished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astonishes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kiosk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Catherine: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hassled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dispensation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Catherine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Catherine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Brewster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Annie Brews...: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healthstorycollaborative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2017-06-06_Proto_Podcast_the-story-prescription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